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Declaration of Interests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F01 · Under Policy 01 (Conflict of Interest) and Policy 47 (FCOI in Research)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Complete on appointment, annually, and within 30 days of any change. Answer every section; write "none" where applicable.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Person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Full name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Role(s) at PHIG / platform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Interests (last three years)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Current employment and positions held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Paid activities, consultancies, honoraria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Financial interests above EUR 1,000 (health, pharma, supplement, cosmetics, laboratory, accreditation, tobacco sectors)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Grants, research funding or fees from industry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Intellectual property and royalties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Memberships, honours, board seats, political offices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Reimbursed or sponsored travel (not from government or academic bodies)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Interests of spouse/partner, children, parents, siblings, close associates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Gifts or hospitality received above EUR 30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Any other interest a reasonable observer might consider relevant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Declaration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21"/>
          <w:szCs w:val="21"/>
        </w:rPr>
        <w:t xml:space="preserve">I declare that this information is complete and accurate. I will update it within 30 days of any change and will withdraw from any matter in which I have an actual, apparent or potential conflict.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Signature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Received by (Director / Integrity Officer)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2026-10-06T08:42:24.361Z</dcterms:created>
  <dcterms:modified xsi:type="dcterms:W3CDTF">2026-10-06T08:42:24.365Z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