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color w:val="5D6B7A"/>
          <w:sz w:val="18"/>
          <w:szCs w:val="18"/>
        </w:rPr>
        <w:t xml:space="preserve">საქართველოს საზოგადოებრივი ჯანმრთელობის ინსტიტუტი · PHIG-ის პოლიტიკის ჩარჩო v1.2</w:t>
      </w:r>
    </w:p>
    <w:p>
      <w:pPr>
        <w:pStyle w:val="Heading1"/>
        <w:spacing w:after="60"/>
      </w:pPr>
      <w:r>
        <w:rPr>
          <w:b/>
          <w:bCs/>
          <w:color w:val="0F2744"/>
          <w:sz w:val="32"/>
          <w:szCs w:val="32"/>
        </w:rPr>
        <w:t xml:space="preserve">საჩივრისა და გამოხმაურების ფორმა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5D6B7A"/>
          <w:sz w:val="18"/>
          <w:szCs w:val="18"/>
        </w:rPr>
        <w:t xml:space="preserve">ფორმა F05 · პოლიტიკა 34 (საჩივრები და საგრიევანო პროცედურები), 54 (ანგარიშვალდებულება დაზარალებული მოსახლეობის წინაშე) · ვერსია 1.2 · დამტკიცებულია 2026 წლის 1 სექტემბერს</w:t>
      </w:r>
    </w:p>
    <w:p>
      <w:pPr>
        <w:spacing w:after="120"/>
      </w:pPr>
      <w:r>
        <w:rPr>
          <w:b w:val="false"/>
          <w:bCs w:val="false"/>
          <w:i/>
          <w:iCs/>
          <w:color w:val="000000"/>
          <w:sz w:val="21"/>
          <w:szCs w:val="21"/>
        </w:rPr>
        <w:t xml:space="preserve">ნებისმიერს შეუძლია საჩივრის შეტანა PHIG-ის საქმიანობასთან დაკავშირებით. ჩვენ ვადასტურებთ მიღებას 5 სამუშაო დღის განმავლობაში და ვაგზავნით პასუხს 30 დღის განმავლობაში. საჩივრის გასაჩივრება შესაძლებელია თავმჯდომარესთან.</w:t>
      </w:r>
    </w:p>
    <w:p>
      <w:pPr>
        <w:pStyle w:val="Heading2"/>
        <w:spacing w:after="120" w:before="240"/>
      </w:pPr>
      <w:r>
        <w:rPr>
          <w:b/>
          <w:bCs/>
          <w:color w:val="0F2744"/>
          <w:sz w:val="24"/>
          <w:szCs w:val="24"/>
        </w:rPr>
        <w:t xml:space="preserve">საჩივარი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6360"/>
      </w:tblGrid>
      <w:tr>
        <w:tc>
          <w:tcPr>
            <w:tcW w:type="dxa" w:w="30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000000"/>
                <w:sz w:val="20"/>
                <w:szCs w:val="20"/>
              </w:rPr>
              <w:t xml:space="preserve">თქვენი სახელი და საკონტაქტო ინფორმაცია (სურვილისამებრ)</w:t>
            </w:r>
          </w:p>
        </w:tc>
        <w:tc>
          <w:tcPr>
            <w:tcW w:type="dxa" w:w="636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0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000000"/>
                <w:sz w:val="20"/>
                <w:szCs w:val="20"/>
              </w:rPr>
              <w:t xml:space="preserve">პლატფორმა / პროგრამა / გამოცემა / შესაბამისი პირი</w:t>
            </w:r>
          </w:p>
        </w:tc>
        <w:tc>
          <w:tcPr>
            <w:tcW w:type="dxa" w:w="636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0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000000"/>
                <w:sz w:val="20"/>
                <w:szCs w:val="20"/>
              </w:rPr>
              <w:t xml:space="preserve">საჩივრის შინაარსი ან გამოხმაურება</w:t>
            </w:r>
          </w:p>
        </w:tc>
        <w:tc>
          <w:tcPr>
            <w:tcW w:type="dxa" w:w="636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0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000000"/>
                <w:sz w:val="20"/>
                <w:szCs w:val="20"/>
              </w:rPr>
              <w:t xml:space="preserve">სასურველი შედეგი</w:t>
            </w:r>
          </w:p>
        </w:tc>
        <w:tc>
          <w:tcPr>
            <w:tcW w:type="dxa" w:w="636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0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000000"/>
                <w:sz w:val="20"/>
                <w:szCs w:val="20"/>
              </w:rPr>
              <w:t xml:space="preserve">თარიღი</w:t>
            </w:r>
          </w:p>
        </w:tc>
        <w:tc>
          <w:tcPr>
            <w:tcW w:type="dxa" w:w="636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</w:tr>
    </w:tbl>
    <w:p>
      <w:pPr>
        <w:pStyle w:val="Heading2"/>
        <w:spacing w:after="120" w:before="240"/>
      </w:pPr>
      <w:r>
        <w:rPr>
          <w:b/>
          <w:bCs/>
          <w:color w:val="0F2744"/>
          <w:sz w:val="24"/>
          <w:szCs w:val="24"/>
        </w:rPr>
        <w:t xml:space="preserve">PHIG-ისთვის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6360"/>
      </w:tblGrid>
      <w:tr>
        <w:tc>
          <w:tcPr>
            <w:tcW w:type="dxa" w:w="30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000000"/>
                <w:sz w:val="20"/>
                <w:szCs w:val="20"/>
              </w:rPr>
              <w:t xml:space="preserve">სარეგისტრაციო ნომერი</w:t>
            </w:r>
          </w:p>
        </w:tc>
        <w:tc>
          <w:tcPr>
            <w:tcW w:type="dxa" w:w="636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0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000000"/>
                <w:sz w:val="20"/>
                <w:szCs w:val="20"/>
              </w:rPr>
              <w:t xml:space="preserve">დადასტურების თარიღი</w:t>
            </w:r>
          </w:p>
        </w:tc>
        <w:tc>
          <w:tcPr>
            <w:tcW w:type="dxa" w:w="636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0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000000"/>
                <w:sz w:val="20"/>
                <w:szCs w:val="20"/>
              </w:rPr>
              <w:t xml:space="preserve">დანიშნული პასუხისმგებელი პირი (კონფლიქტისგან თავისუფალი)</w:t>
            </w:r>
          </w:p>
        </w:tc>
        <w:tc>
          <w:tcPr>
            <w:tcW w:type="dxa" w:w="636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0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000000"/>
                <w:sz w:val="20"/>
                <w:szCs w:val="20"/>
              </w:rPr>
              <w:t xml:space="preserve">გადაწყვეტილებისა და დასაბუთების გაგზავნის თარიღი</w:t>
            </w:r>
          </w:p>
        </w:tc>
        <w:tc>
          <w:tcPr>
            <w:tcW w:type="dxa" w:w="636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0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000000"/>
                <w:sz w:val="20"/>
                <w:szCs w:val="20"/>
              </w:rPr>
              <w:t xml:space="preserve">მიღებული გასაჩივრება / თავმჯდომარის გადაწყვეტილება</w:t>
            </w:r>
          </w:p>
        </w:tc>
        <w:tc>
          <w:tcPr>
            <w:tcW w:type="dxa" w:w="636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</w:tr>
    </w:tbl>
    <w:p>
      <w:pPr>
        <w:pStyle w:val="Heading2"/>
        <w:spacing w:after="120" w:before="240"/>
      </w:pPr>
      <w:r>
        <w:rPr>
          <w:b/>
          <w:bCs/>
          <w:color w:val="0F2744"/>
          <w:sz w:val="24"/>
          <w:szCs w:val="24"/>
        </w:rPr>
        <w:t xml:space="preserve">კონფიდენციალურობა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00000"/>
          <w:sz w:val="18"/>
          <w:szCs w:val="18"/>
        </w:rPr>
        <w:t xml:space="preserve">ამ ფორმაში მითითებული პერსონალური მონაცემები მუშავდება PHIG-ის პოლიტიკა 05-ის (მონაცემთა დაცვა) შესაბამისად მითითებული მიზნით და ინახება პოლიტიკა 36-ის (ჩანაწერები) მიხედვით. კონტაქტი: info@accreditation.ge.</w:t>
      </w:r>
    </w:p>
    <w:sectPr>
      <w:headerReference w:type="default" r:id="rId7"/>
      <w:footerReference w:type="default" r:id="rId8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5D6B7A"/>
        <w:sz w:val="16"/>
        <w:szCs w:val="16"/>
      </w:rPr>
      <w:t xml:space="preserve">საქართველოს საზოგადოებრივი ჯანმრთელობის ინსტიტუტი · ბეთლემის აღმართი 3, თბილისი · info@accreditation.ge · გვ. </w:t>
    </w:r>
    <w:r>
      <w:rPr>
        <w:color w:val="5D6B7A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color w:val="5D6B7A"/>
        <w:sz w:val="16"/>
        <w:szCs w:val="16"/>
      </w:rPr>
      <w:t xml:space="preserve">PHIG · ფორმა F05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2026-10-06T10:00:50.997Z</dcterms:created>
  <dcterms:modified xsi:type="dcterms:W3CDTF">2026-10-06T10:00:50.997Z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