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color w:val="5D6B7A"/>
          <w:sz w:val="18"/>
          <w:szCs w:val="18"/>
        </w:rPr>
        <w:t xml:space="preserve">Public Health Institute of Georgia · PHIG Policy Framework v1.2</w:t>
      </w:r>
    </w:p>
    <w:p>
      <w:pPr>
        <w:pStyle w:val="Heading1"/>
        <w:spacing w:after="60"/>
      </w:pPr>
      <w:r>
        <w:rPr>
          <w:b/>
          <w:bCs/>
          <w:color w:val="0F2744"/>
          <w:sz w:val="32"/>
          <w:szCs w:val="32"/>
        </w:rPr>
        <w:t xml:space="preserve">Procurement Comparison and Award Record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5D6B7A"/>
          <w:sz w:val="18"/>
          <w:szCs w:val="18"/>
        </w:rPr>
        <w:t xml:space="preserve">Form F08 · Under Policy 11 (Procurement), 15 (Sanctions), 63 (Supplier Code) · Version 1.2 · Adopted 1 September 2026</w:t>
      </w:r>
    </w:p>
    <w:p>
      <w:pPr>
        <w:spacing w:after="120"/>
      </w:pPr>
      <w:r>
        <w:rPr>
          <w:b w:val="false"/>
          <w:bCs w:val="false"/>
          <w:i/>
          <w:iCs/>
          <w:color w:val="000000"/>
          <w:sz w:val="21"/>
          <w:szCs w:val="21"/>
        </w:rPr>
        <w:t xml:space="preserve">Use for purchases above EUR 2,500 (three quotations) and as the summary sheet for calls for offers and tenders.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360"/>
      </w:tblGrid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Purchase description / specification reference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Project / budget line / donor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Estimated value (EUR, excl. VAT) and procedure applied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Evaluation criteria and weights (set in advance)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</w:tbl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1200"/>
        <w:gridCol w:w="1200"/>
        <w:gridCol w:w="1200"/>
        <w:gridCol w:w="1400"/>
        <w:gridCol w:w="1400"/>
        <w:gridCol w:w="1160"/>
      </w:tblGrid>
      <w:tr>
        <w:trPr>
          <w:tblHeader/>
        </w:trPr>
        <w:tc>
          <w:tcPr>
            <w:tcW w:type="dxa" w:w="1800"/>
            <w:shd w:fill="0F274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Supplier</w:t>
            </w:r>
          </w:p>
        </w:tc>
        <w:tc>
          <w:tcPr>
            <w:tcW w:type="dxa" w:w="1200"/>
            <w:shd w:fill="0F274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Quotation date</w:t>
            </w:r>
          </w:p>
        </w:tc>
        <w:tc>
          <w:tcPr>
            <w:tcW w:type="dxa" w:w="1200"/>
            <w:shd w:fill="0F274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Price (EUR)</w:t>
            </w:r>
          </w:p>
        </w:tc>
        <w:tc>
          <w:tcPr>
            <w:tcW w:type="dxa" w:w="1200"/>
            <w:shd w:fill="0F274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Technical score</w:t>
            </w:r>
          </w:p>
        </w:tc>
        <w:tc>
          <w:tcPr>
            <w:tcW w:type="dxa" w:w="1400"/>
            <w:shd w:fill="0F274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Delivery / terms</w:t>
            </w:r>
          </w:p>
        </w:tc>
        <w:tc>
          <w:tcPr>
            <w:tcW w:type="dxa" w:w="1400"/>
            <w:shd w:fill="0F274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Sanctions check (date, result)</w:t>
            </w:r>
          </w:p>
        </w:tc>
        <w:tc>
          <w:tcPr>
            <w:tcW w:type="dxa" w:w="1160"/>
            <w:shd w:fill="0F274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Total score</w:t>
            </w:r>
          </w:p>
        </w:tc>
      </w:tr>
      <w:tr>
        <w:tc>
          <w:tcPr>
            <w:tcW w:type="dxa" w:w="18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1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8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1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8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1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8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1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</w:tbl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360"/>
      </w:tblGrid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Selected supplier and justification (best value for money)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Evaluators (names) — each has signed Form F02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Contract reference and date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Board approval (if above EUR 60,000 or related party)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</w:tbl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360"/>
      </w:tblGrid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Evaluator 1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
</w:t>
            </w:r>
          </w:p>
        </w:tc>
      </w:tr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Evaluator 2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
</w:t>
            </w:r>
          </w:p>
        </w:tc>
      </w:tr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Approved by Director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
</w:t>
            </w:r>
          </w:p>
        </w:tc>
      </w:tr>
    </w:tbl>
    <w:p>
      <w:pPr>
        <w:pStyle w:val="Heading2"/>
        <w:spacing w:after="120" w:before="240"/>
      </w:pPr>
      <w:r>
        <w:rPr>
          <w:b/>
          <w:bCs/>
          <w:color w:val="0F2744"/>
          <w:sz w:val="24"/>
          <w:szCs w:val="24"/>
        </w:rPr>
        <w:t xml:space="preserve">Privacy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00000"/>
          <w:sz w:val="18"/>
          <w:szCs w:val="18"/>
        </w:rPr>
        <w:t xml:space="preserve">Personal data in this form are processed under PHIG Policy 05 (Data Protection) for the purpose stated and retained per Policy 36 (Records). Contact: info@accreditation.ge.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5D6B7A"/>
        <w:sz w:val="16"/>
        <w:szCs w:val="16"/>
      </w:rPr>
      <w:t xml:space="preserve">Public Health Institute of Georgia · 3 Betlemi Rise, Tbilisi · info@accreditation.ge · Page </w:t>
    </w:r>
    <w:r>
      <w:rPr>
        <w:color w:val="5D6B7A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5D6B7A"/>
        <w:sz w:val="16"/>
        <w:szCs w:val="16"/>
      </w:rPr>
      <w:t xml:space="preserve">PHIG · Form F08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2026-10-06T08:42:24.729Z</dcterms:created>
  <dcterms:modified xsi:type="dcterms:W3CDTF">2026-10-06T08:42:24.729Z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