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D6B7A"/>
          <w:sz w:val="18"/>
          <w:szCs w:val="18"/>
        </w:rPr>
        <w:t xml:space="preserve">საქართველოს საზოგადოებრივი ჯანმრთელობის ინსტიტუტი · PHIG-ის პოლიტიკის ჩარჩო v1.2</w:t>
      </w:r>
    </w:p>
    <w:p>
      <w:pPr>
        <w:pStyle w:val="Heading1"/>
        <w:spacing w:after="60"/>
      </w:pPr>
      <w:r>
        <w:rPr>
          <w:b/>
          <w:bCs/>
          <w:color w:val="0F2744"/>
          <w:sz w:val="32"/>
          <w:szCs w:val="32"/>
        </w:rPr>
        <w:t xml:space="preserve">გრანტის შესაბამისობის საკონტროლო სია</w:t>
      </w:r>
    </w:p>
    <w:p>
      <w:pPr>
        <w:spacing w:after="120"/>
      </w:pPr>
      <w:r>
        <w:rPr>
          <w:b w:val="false"/>
          <w:bCs w:val="false"/>
          <w:i w:val="false"/>
          <w:iCs w:val="false"/>
          <w:color w:val="5D6B7A"/>
          <w:sz w:val="18"/>
          <w:szCs w:val="18"/>
        </w:rPr>
        <w:t xml:space="preserve">ფორმა F14 · პოლიტიკა 28 (გრანტების მართვა), 12 (ფინანსური მართვა), 13/39 (ხილვადობა), 36 (ჩანაწერები) · ვერსია 1.2 · დამტკიცებულია 2026 წლის 1 სექტემბერს</w:t>
      </w:r>
    </w:p>
    <w:p>
      <w:pPr>
        <w:spacing w:after="120"/>
      </w:pPr>
      <w:r>
        <w:rPr>
          <w:b w:val="false"/>
          <w:bCs w:val="false"/>
          <w:i/>
          <w:iCs/>
          <w:color w:val="000000"/>
          <w:sz w:val="21"/>
          <w:szCs w:val="21"/>
        </w:rPr>
        <w:t xml:space="preserve">გაიხსნება გრანტზე ხელმოწერისას; განიხილება ყოველთვიურად; დაიხურება საბოლოო ანგარიშის წარდგენისას.</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shd w:fill="F2F5F9" w:color="auto" w:val="clear"/>
            <w:tcMar>
              <w:top w:type="dxa" w:w="80"/>
              <w:left w:type="dxa" w:w="120"/>
              <w:bottom w:type="dxa" w:w="80"/>
              <w:right w:type="dxa" w:w="120"/>
            </w:tcMar>
          </w:tcPr>
          <w:p>
            <w:r>
              <w:rPr>
                <w:b/>
                <w:bCs/>
                <w:color w:val="000000"/>
                <w:sz w:val="20"/>
                <w:szCs w:val="20"/>
              </w:rPr>
              <w:t xml:space="preserve">გრანტის სახელწოდება, დონორი, სარეგისტრაციო ნომერი, თანხა, პერიოდი</w:t>
            </w:r>
          </w:p>
        </w:tc>
        <w:tc>
          <w:tcPr>
            <w:tcW w:type="dxa" w:w="6360"/>
            <w:tcMar>
              <w:top w:type="dxa" w:w="80"/>
              <w:left w:type="dxa" w:w="120"/>
              <w:bottom w:type="dxa" w:w="80"/>
              <w:right w:type="dxa" w:w="120"/>
            </w:tcMar>
          </w:tcPr>
          <w:p>
            <w:r>
              <w:rPr>
                <w:b w:val="false"/>
                <w:bCs w:val="false"/>
                <w:color w:val="000000"/>
                <w:sz w:val="20"/>
                <w:szCs w:val="20"/>
              </w:rPr>
              <w:t xml:space="preserve"/>
            </w:r>
          </w:p>
        </w:tc>
      </w:tr>
      <w:tr>
        <w:tc>
          <w:tcPr>
            <w:tcW w:type="dxa" w:w="3000"/>
            <w:shd w:fill="F2F5F9" w:color="auto" w:val="clear"/>
            <w:tcMar>
              <w:top w:type="dxa" w:w="80"/>
              <w:left w:type="dxa" w:w="120"/>
              <w:bottom w:type="dxa" w:w="80"/>
              <w:right w:type="dxa" w:w="120"/>
            </w:tcMar>
          </w:tcPr>
          <w:p>
            <w:r>
              <w:rPr>
                <w:b/>
                <w:bCs/>
                <w:color w:val="000000"/>
                <w:sz w:val="20"/>
                <w:szCs w:val="20"/>
              </w:rPr>
              <w:t xml:space="preserve">პასუხისმგებელი პირი; ბუღალტერი; ხარჯების ცენტრის კოდი</w:t>
            </w:r>
          </w:p>
        </w:tc>
        <w:tc>
          <w:tcPr>
            <w:tcW w:type="dxa" w:w="6360"/>
            <w:tcMar>
              <w:top w:type="dxa" w:w="80"/>
              <w:left w:type="dxa" w:w="120"/>
              <w:bottom w:type="dxa" w:w="80"/>
              <w:right w:type="dxa" w:w="120"/>
            </w:tcMar>
          </w:tcPr>
          <w:p>
            <w:r>
              <w:rPr>
                <w:b w:val="false"/>
                <w:bCs w:val="false"/>
                <w:color w:val="000000"/>
                <w:sz w:val="20"/>
                <w:szCs w:val="20"/>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000"/>
        <w:gridCol w:w="1800"/>
        <w:gridCol w:w="1400"/>
        <w:gridCol w:w="1560"/>
      </w:tblGrid>
      <w:tr>
        <w:trPr>
          <w:tblHeader/>
        </w:trPr>
        <w:tc>
          <w:tcPr>
            <w:tcW w:type="dxa" w:w="3600"/>
            <w:shd w:fill="0F2744" w:color="auto" w:val="clear"/>
            <w:tcMar>
              <w:top w:type="dxa" w:w="80"/>
              <w:left w:type="dxa" w:w="120"/>
              <w:bottom w:type="dxa" w:w="80"/>
              <w:right w:type="dxa" w:w="120"/>
            </w:tcMar>
          </w:tcPr>
          <w:p>
            <w:r>
              <w:rPr>
                <w:b/>
                <w:bCs/>
                <w:color w:val="FFFFFF"/>
                <w:sz w:val="20"/>
                <w:szCs w:val="20"/>
              </w:rPr>
              <w:t xml:space="preserve">ვალდებულება (შეთანხმებიდან)</w:t>
            </w:r>
          </w:p>
        </w:tc>
        <w:tc>
          <w:tcPr>
            <w:tcW w:type="dxa" w:w="1000"/>
            <w:shd w:fill="0F2744" w:color="auto" w:val="clear"/>
            <w:tcMar>
              <w:top w:type="dxa" w:w="80"/>
              <w:left w:type="dxa" w:w="120"/>
              <w:bottom w:type="dxa" w:w="80"/>
              <w:right w:type="dxa" w:w="120"/>
            </w:tcMar>
          </w:tcPr>
          <w:p>
            <w:r>
              <w:rPr>
                <w:b/>
                <w:bCs/>
                <w:color w:val="FFFFFF"/>
                <w:sz w:val="20"/>
                <w:szCs w:val="20"/>
              </w:rPr>
              <w:t xml:space="preserve">მუხლი</w:t>
            </w:r>
          </w:p>
        </w:tc>
        <w:tc>
          <w:tcPr>
            <w:tcW w:type="dxa" w:w="1800"/>
            <w:shd w:fill="0F2744" w:color="auto" w:val="clear"/>
            <w:tcMar>
              <w:top w:type="dxa" w:w="80"/>
              <w:left w:type="dxa" w:w="120"/>
              <w:bottom w:type="dxa" w:w="80"/>
              <w:right w:type="dxa" w:w="120"/>
            </w:tcMar>
          </w:tcPr>
          <w:p>
            <w:r>
              <w:rPr>
                <w:b/>
                <w:bCs/>
                <w:color w:val="FFFFFF"/>
                <w:sz w:val="20"/>
                <w:szCs w:val="20"/>
              </w:rPr>
              <w:t xml:space="preserve">ვადა / სიხშირე</w:t>
            </w:r>
          </w:p>
        </w:tc>
        <w:tc>
          <w:tcPr>
            <w:tcW w:type="dxa" w:w="1400"/>
            <w:shd w:fill="0F2744" w:color="auto" w:val="clear"/>
            <w:tcMar>
              <w:top w:type="dxa" w:w="80"/>
              <w:left w:type="dxa" w:w="120"/>
              <w:bottom w:type="dxa" w:w="80"/>
              <w:right w:type="dxa" w:w="120"/>
            </w:tcMar>
          </w:tcPr>
          <w:p>
            <w:r>
              <w:rPr>
                <w:b/>
                <w:bCs/>
                <w:color w:val="FFFFFF"/>
                <w:sz w:val="20"/>
                <w:szCs w:val="20"/>
              </w:rPr>
              <w:t xml:space="preserve">მეპატრონე</w:t>
            </w:r>
          </w:p>
        </w:tc>
        <w:tc>
          <w:tcPr>
            <w:tcW w:type="dxa" w:w="1560"/>
            <w:shd w:fill="0F2744" w:color="auto" w:val="clear"/>
            <w:tcMar>
              <w:top w:type="dxa" w:w="80"/>
              <w:left w:type="dxa" w:w="120"/>
              <w:bottom w:type="dxa" w:w="80"/>
              <w:right w:type="dxa" w:w="120"/>
            </w:tcMar>
          </w:tcPr>
          <w:p>
            <w:r>
              <w:rPr>
                <w:b/>
                <w:bCs/>
                <w:color w:val="FFFFFF"/>
                <w:sz w:val="20"/>
                <w:szCs w:val="20"/>
              </w:rPr>
              <w:t xml:space="preserve">სტატუსი</w:t>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r>
        <w:tc>
          <w:tcPr>
            <w:tcW w:type="dxa" w:w="3600"/>
            <w:tcMar>
              <w:top w:type="dxa" w:w="80"/>
              <w:left w:type="dxa" w:w="120"/>
              <w:bottom w:type="dxa" w:w="80"/>
              <w:right w:type="dxa" w:w="120"/>
            </w:tcMar>
          </w:tcPr>
          <w:p>
            <w:r>
              <w:rPr>
                <w:b w:val="false"/>
                <w:bCs w:val="false"/>
                <w:color w:val="000000"/>
                <w:sz w:val="20"/>
                <w:szCs w:val="20"/>
              </w:rPr>
              <w:t xml:space="preserve"/>
            </w:r>
          </w:p>
        </w:tc>
        <w:tc>
          <w:tcPr>
            <w:tcW w:type="dxa" w:w="1000"/>
            <w:tcMar>
              <w:top w:type="dxa" w:w="80"/>
              <w:left w:type="dxa" w:w="120"/>
              <w:bottom w:type="dxa" w:w="80"/>
              <w:right w:type="dxa" w:w="120"/>
            </w:tcMar>
          </w:tcPr>
          <w:p>
            <w:r>
              <w:rPr>
                <w:b w:val="false"/>
                <w:bCs w:val="false"/>
                <w:color w:val="000000"/>
                <w:sz w:val="20"/>
                <w:szCs w:val="20"/>
              </w:rPr>
              <w:t xml:space="preserve"/>
            </w:r>
          </w:p>
        </w:tc>
        <w:tc>
          <w:tcPr>
            <w:tcW w:type="dxa" w:w="1800"/>
            <w:tcMar>
              <w:top w:type="dxa" w:w="80"/>
              <w:left w:type="dxa" w:w="120"/>
              <w:bottom w:type="dxa" w:w="80"/>
              <w:right w:type="dxa" w:w="120"/>
            </w:tcMar>
          </w:tcPr>
          <w:p>
            <w:r>
              <w:rPr>
                <w:b w:val="false"/>
                <w:bCs w:val="false"/>
                <w:color w:val="000000"/>
                <w:sz w:val="20"/>
                <w:szCs w:val="20"/>
              </w:rPr>
              <w:t xml:space="preserve"/>
            </w:r>
          </w:p>
        </w:tc>
        <w:tc>
          <w:tcPr>
            <w:tcW w:type="dxa" w:w="1400"/>
            <w:tcMar>
              <w:top w:type="dxa" w:w="80"/>
              <w:left w:type="dxa" w:w="120"/>
              <w:bottom w:type="dxa" w:w="80"/>
              <w:right w:type="dxa" w:w="120"/>
            </w:tcMar>
          </w:tcPr>
          <w:p>
            <w:r>
              <w:rPr>
                <w:b w:val="false"/>
                <w:bCs w:val="false"/>
                <w:color w:val="000000"/>
                <w:sz w:val="20"/>
                <w:szCs w:val="20"/>
              </w:rPr>
              <w:t xml:space="preserve"/>
            </w:r>
          </w:p>
        </w:tc>
        <w:tc>
          <w:tcPr>
            <w:tcW w:type="dxa" w:w="1560"/>
            <w:tcMar>
              <w:top w:type="dxa" w:w="80"/>
              <w:left w:type="dxa" w:w="120"/>
              <w:bottom w:type="dxa" w:w="80"/>
              <w:right w:type="dxa" w:w="120"/>
            </w:tcMar>
          </w:tcPr>
          <w:p>
            <w:r>
              <w:rPr>
                <w:b w:val="false"/>
                <w:bCs w:val="false"/>
                <w:color w:val="000000"/>
                <w:sz w:val="20"/>
                <w:szCs w:val="20"/>
              </w:rPr>
              <w:t xml:space="preserve"/>
            </w:r>
          </w:p>
        </w:tc>
      </w:tr>
    </w:tbl>
    <w:p>
      <w:pPr>
        <w:spacing w:after="120"/>
      </w:pPr>
      <w:r>
        <w:rPr>
          <w:b w:val="false"/>
          <w:bCs w:val="false"/>
          <w:i w:val="false"/>
          <w:iCs w:val="false"/>
          <w:color w:val="000000"/>
          <w:sz w:val="18"/>
          <w:szCs w:val="18"/>
        </w:rPr>
        <w:t xml:space="preserve">ტიპიური ვალდებულებები: ანგარიშგება (სააღწერო, ფინანსური), წინასწარი დაფინანსება და გადახდის მოთხოვნები, ბიუჯეტის გადაცემა და შეცვლა, ხილვადობა და მარკირება, ეთიკური მიწოდებები, მონაცემთა მართვის გეგმა, შესყიდვების ზღვრები, ქვეჯილდოს დამტკიცება, აუდიტის უფლებები და აუდიტის სერტიფიკატი, ჩანაწერების შენახვა, კონფლიქტისა და თაღლითობის გამჟღავნება, PSEAH და დაცვის შესახებ შეტყობინებები, აქტივების განკარგვა, საბოლოო ანგარიში და დახურვა.</w:t>
      </w:r>
    </w:p>
    <w:p>
      <w:pPr>
        <w:pStyle w:val="Heading2"/>
        <w:spacing w:after="120" w:before="240"/>
      </w:pPr>
      <w:r>
        <w:rPr>
          <w:b/>
          <w:bCs/>
          <w:color w:val="0F2744"/>
          <w:sz w:val="24"/>
          <w:szCs w:val="24"/>
        </w:rPr>
        <w:t xml:space="preserve">კონფიდენციალურობა</w:t>
      </w:r>
    </w:p>
    <w:p>
      <w:pPr>
        <w:spacing w:after="120"/>
      </w:pPr>
      <w:r>
        <w:rPr>
          <w:b w:val="false"/>
          <w:bCs w:val="false"/>
          <w:i w:val="false"/>
          <w:iCs w:val="false"/>
          <w:color w:val="000000"/>
          <w:sz w:val="18"/>
          <w:szCs w:val="18"/>
        </w:rPr>
        <w:t xml:space="preserve">ამ ფორმაში მითითებული პერსონალური მონაცემები მუშავდება PHIG-ის პოლიტიკა 05-ის (მონაცემთა დაცვა) შესაბამისად მითითებული მიზნით და ინახება პოლიტიკა 36-ის (ჩანაწერები) მიხედვით. კონტაქტი: info@accreditation.ge.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6B7A"/>
        <w:sz w:val="16"/>
        <w:szCs w:val="16"/>
      </w:rPr>
      <w:t xml:space="preserve">საქართველოს საზოგადოებრივი ჯანმრთელობის ინსტიტუტი · ბეთლემის აღმართი 3, თბილისი · info@accreditation.ge · გვ. </w:t>
    </w:r>
    <w:r>
      <w:rPr>
        <w:color w:val="5D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D6B7A"/>
        <w:sz w:val="16"/>
        <w:szCs w:val="16"/>
      </w:rPr>
      <w:t xml:space="preserve">PHIG · ფორმა F14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2026-10-06T10:00:51.272Z</dcterms:created>
  <dcterms:modified xsi:type="dcterms:W3CDTF">2026-10-06T10:00:51.272Z</dcterms:modified>
</cp:coreProperties>
</file>

<file path=docProps/custom.xml><?xml version="1.0" encoding="utf-8"?>
<Properties xmlns="http://schemas.openxmlformats.org/officeDocument/2006/custom-properties" xmlns:vt="http://schemas.openxmlformats.org/officeDocument/2006/docPropsVTypes"/>
</file>